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ascii="方正小标宋_GBK" w:eastAsia="方正小标宋_GBK" w:cs="方正小标宋_GBK"/>
          <w:b w:val="0"/>
          <w:bCs/>
          <w:sz w:val="36"/>
          <w:szCs w:val="36"/>
          <w:u w:val="single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  <w:lang w:eastAsia="zh-CN"/>
        </w:rPr>
        <w:t>湘潭市第一中学</w:t>
      </w:r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202</w:t>
      </w:r>
      <w:r>
        <w:rPr>
          <w:rFonts w:hint="eastAsia" w:ascii="方正小标宋_GBK" w:eastAsia="方正小标宋_GBK" w:cs="方正小标宋_GBK"/>
          <w:bCs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 w:cs="方正小标宋_GBK"/>
          <w:b w:val="0"/>
          <w:bCs/>
          <w:sz w:val="36"/>
          <w:szCs w:val="36"/>
          <w:lang w:val="en-US" w:eastAsia="zh-CN"/>
        </w:rPr>
        <w:t>年</w:t>
      </w:r>
      <w:r>
        <w:rPr>
          <w:rFonts w:hint="eastAsia" w:ascii="方正小标宋_GBK" w:eastAsia="方正小标宋_GBK" w:cs="方正小标宋_GBK"/>
          <w:b w:val="0"/>
          <w:bCs/>
          <w:sz w:val="36"/>
          <w:szCs w:val="36"/>
          <w:lang w:eastAsia="zh-CN"/>
        </w:rPr>
        <w:t>校舍安全隐患改造</w:t>
      </w:r>
      <w:r>
        <w:rPr>
          <w:rFonts w:hint="eastAsia" w:ascii="方正小标宋_GBK" w:eastAsia="方正小标宋_GBK" w:cs="方正小标宋_GBK"/>
          <w:b w:val="0"/>
          <w:bCs/>
          <w:sz w:val="36"/>
          <w:szCs w:val="36"/>
        </w:rPr>
        <w:t>项目支出绩效评价报告</w:t>
      </w:r>
    </w:p>
    <w:tbl>
      <w:tblPr>
        <w:tblStyle w:val="2"/>
        <w:tblpPr w:leftFromText="180" w:rightFromText="180" w:vertAnchor="text" w:horzAnchor="margin" w:tblpXSpec="center" w:tblpY="1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98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部门概况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专项名称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eastAsia" w:ascii="宋体" w:eastAsia="宋体" w:cs="宋体"/>
                <w:szCs w:val="32"/>
                <w:lang w:eastAsia="zh-CN"/>
              </w:rPr>
            </w:pPr>
            <w:r>
              <w:rPr>
                <w:rFonts w:hint="eastAsia" w:ascii="宋体" w:cs="宋体"/>
                <w:szCs w:val="32"/>
                <w:lang w:eastAsia="zh-CN"/>
              </w:rPr>
              <w:t>校舍安全隐患改造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7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年度预算金额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default" w:ascii="宋体" w:eastAsia="宋体" w:cs="宋体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Cs w:val="32"/>
                <w:lang w:val="en-US" w:eastAsia="zh-CN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7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项目主管部门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eastAsia" w:ascii="宋体" w:eastAsia="宋体" w:cs="宋体"/>
                <w:szCs w:val="32"/>
                <w:lang w:eastAsia="zh-CN"/>
              </w:rPr>
            </w:pPr>
            <w:r>
              <w:rPr>
                <w:rFonts w:hint="eastAsia" w:ascii="宋体" w:cs="宋体"/>
                <w:szCs w:val="32"/>
                <w:lang w:eastAsia="zh-CN"/>
              </w:rPr>
              <w:t>湘潭市教育局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7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项目立项目的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 w:firstLine="420" w:firstLineChars="200"/>
              <w:jc w:val="left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为消除校舍外墙瓷片掉落，教学楼厕所漏水，教学楼走道铝合金窗脱落，食堂二楼楼板震动异常等安全隐患。</w:t>
            </w:r>
            <w:r>
              <w:rPr>
                <w:rFonts w:hint="eastAsia" w:ascii="宋体" w:cs="宋体"/>
                <w:szCs w:val="32"/>
                <w:lang w:eastAsia="zh-CN"/>
              </w:rPr>
              <w:t>对学校</w:t>
            </w:r>
            <w:r>
              <w:rPr>
                <w:rFonts w:hint="eastAsia" w:ascii="宋体" w:cs="宋体"/>
                <w:szCs w:val="32"/>
              </w:rPr>
              <w:t>教学楼厕所改造；教学楼走道铝合金窗改造；校舍连廊；食堂二楼楼板加固改造。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绩效情况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项目支出管理和使用基本情况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eastAsia" w:ascii="宋体" w:cs="宋体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Cs w:val="32"/>
                <w:lang w:val="en-US" w:eastAsia="zh-CN"/>
              </w:rPr>
              <w:t>2021年学校分两次收到教育局专项拨款共228万元，针对学校安全隐患问题，分四个维修项目进行。项目一食堂加固工程，通过询价采购方式由湘潭县公路与桥梁建设有限公司31.88万元中标，已竣工验收，并支付工程进度款20万元；项目二教学楼走廊铝合金窗更换工程，通过竞争性谈判的形势由湖南汇科建设工程有限公司以40.38万元中标，已竣工验收合格，并支付25万元工程进度款；项目三教学楼南北座厕所改造，通过竞争性谈判的形势由湖南广云建设有限公司以80.52万元中标，已竣工验收合格，并支付55万元工程进度款；项目四风雨连廊工程，通过竞争性谈判的形势由湘潭市晨翔建设有限公司以83.5万元中标，已竣工验收合格，但因完成施工时间较晚，年内未支付相关工程款项。</w:t>
            </w:r>
          </w:p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default" w:ascii="宋体" w:cs="宋体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Cs w:val="32"/>
                <w:lang w:val="en-US" w:eastAsia="zh-CN"/>
              </w:rPr>
              <w:t>所有</w:t>
            </w:r>
            <w:r>
              <w:rPr>
                <w:rFonts w:hint="default" w:ascii="宋体" w:cs="宋体"/>
                <w:szCs w:val="32"/>
                <w:lang w:val="en-US" w:eastAsia="zh-CN"/>
              </w:rPr>
              <w:t>项目严格按照学校制定的集体决策管理制度、会计管理制度、专项资金使用管理制度、政府采购制度、建设项目管理制度、合同管理制度执行，对项目资金使用过程执行专款专用，专账核算。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567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项目绩效目标完成情况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eastAsia" w:ascii="宋体" w:eastAsia="宋体" w:cs="宋体"/>
                <w:szCs w:val="32"/>
                <w:lang w:eastAsia="zh-CN"/>
              </w:rPr>
            </w:pPr>
            <w:r>
              <w:rPr>
                <w:rFonts w:hint="eastAsia" w:ascii="宋体" w:cs="宋体"/>
                <w:szCs w:val="32"/>
                <w:lang w:eastAsia="zh-CN"/>
              </w:rPr>
              <w:t>所有项目绩效目标均已完成，并验收合格，学校师生均感满意。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7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存在的问题分析及改进措施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存在的问题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eastAsia" w:ascii="宋体" w:eastAsia="宋体" w:cs="宋体"/>
                <w:szCs w:val="32"/>
                <w:lang w:eastAsia="zh-CN"/>
              </w:rPr>
            </w:pPr>
            <w:r>
              <w:rPr>
                <w:rFonts w:hint="eastAsia" w:ascii="宋体" w:cs="宋体"/>
                <w:szCs w:val="32"/>
                <w:lang w:eastAsia="zh-CN"/>
              </w:rPr>
              <w:t>整个项目资金分两次下达，但仍有缺口，导致项目预算与项目结算数存在差异。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567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改进措施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left"/>
              <w:rPr>
                <w:rFonts w:hint="eastAsia" w:ascii="宋体" w:eastAsia="宋体" w:cs="宋体"/>
                <w:szCs w:val="32"/>
                <w:lang w:eastAsia="zh-CN"/>
              </w:rPr>
            </w:pPr>
            <w:r>
              <w:rPr>
                <w:rFonts w:hint="eastAsia" w:ascii="宋体" w:cs="宋体"/>
                <w:szCs w:val="32"/>
                <w:lang w:eastAsia="zh-CN"/>
              </w:rPr>
              <w:t>今后做项目预算尽量精确，减少误差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67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32"/>
              </w:rPr>
            </w:pPr>
            <w:r>
              <w:rPr>
                <w:rFonts w:hint="eastAsia" w:ascii="宋体" w:cs="宋体"/>
                <w:szCs w:val="32"/>
              </w:rPr>
              <w:t>其他需要说明问题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ascii="宋体" w:cs="宋体"/>
                <w:szCs w:val="32"/>
              </w:rPr>
            </w:pPr>
          </w:p>
        </w:tc>
      </w:tr>
    </w:tbl>
    <w:p>
      <w:pPr>
        <w:snapToGrid w:val="0"/>
        <w:spacing w:line="540" w:lineRule="exact"/>
        <w:rPr>
          <w:rFonts w:ascii="宋体" w:cs="宋体"/>
          <w:kern w:val="0"/>
          <w:sz w:val="32"/>
          <w:szCs w:val="32"/>
        </w:rPr>
      </w:pPr>
    </w:p>
    <w:p>
      <w:pPr>
        <w:snapToGrid w:val="0"/>
        <w:spacing w:line="540" w:lineRule="exact"/>
        <w:rPr>
          <w:rFonts w:ascii="宋体" w:cs="宋体"/>
          <w:kern w:val="0"/>
          <w:sz w:val="32"/>
          <w:szCs w:val="32"/>
        </w:rPr>
      </w:pPr>
    </w:p>
    <w:p>
      <w:pPr>
        <w:snapToGrid w:val="0"/>
        <w:spacing w:line="540" w:lineRule="exact"/>
        <w:rPr>
          <w:rFonts w:ascii="宋体" w:cs="宋体"/>
          <w:kern w:val="0"/>
          <w:sz w:val="32"/>
          <w:szCs w:val="32"/>
        </w:rPr>
      </w:pPr>
    </w:p>
    <w:p>
      <w:pPr>
        <w:snapToGrid w:val="0"/>
        <w:spacing w:line="540" w:lineRule="exact"/>
        <w:rPr>
          <w:rFonts w:ascii="宋体" w:cs="宋体"/>
          <w:kern w:val="0"/>
          <w:sz w:val="32"/>
          <w:szCs w:val="32"/>
        </w:rPr>
      </w:pPr>
    </w:p>
    <w:p>
      <w:pPr>
        <w:tabs>
          <w:tab w:val="left" w:pos="6480"/>
        </w:tabs>
        <w:spacing w:line="600" w:lineRule="exact"/>
        <w:jc w:val="center"/>
        <w:rPr>
          <w:rFonts w:hint="eastAsia" w:ascii="方正小标宋_GBK" w:eastAsia="方正小标宋_GBK" w:cs="方正小标宋_GBK"/>
          <w:kern w:val="0"/>
          <w:sz w:val="36"/>
          <w:szCs w:val="36"/>
        </w:rPr>
      </w:pPr>
    </w:p>
    <w:p>
      <w:pPr>
        <w:tabs>
          <w:tab w:val="left" w:pos="6480"/>
        </w:tabs>
        <w:spacing w:line="600" w:lineRule="exact"/>
        <w:jc w:val="center"/>
        <w:rPr>
          <w:rFonts w:hint="eastAsia" w:ascii="方正小标宋_GBK" w:eastAsia="方正小标宋_GBK" w:cs="方正小标宋_GBK"/>
          <w:kern w:val="0"/>
          <w:sz w:val="36"/>
          <w:szCs w:val="36"/>
        </w:rPr>
      </w:pPr>
    </w:p>
    <w:p>
      <w:pPr>
        <w:tabs>
          <w:tab w:val="left" w:pos="6480"/>
        </w:tabs>
        <w:spacing w:line="600" w:lineRule="exact"/>
        <w:jc w:val="center"/>
        <w:rPr>
          <w:rFonts w:hint="eastAsia" w:ascii="方正小标宋_GBK" w:eastAsia="方正小标宋_GBK" w:cs="方正小标宋_GBK"/>
          <w:kern w:val="0"/>
          <w:sz w:val="36"/>
          <w:szCs w:val="36"/>
        </w:rPr>
      </w:pPr>
    </w:p>
    <w:p>
      <w:pPr>
        <w:tabs>
          <w:tab w:val="left" w:pos="6480"/>
        </w:tabs>
        <w:spacing w:line="600" w:lineRule="exact"/>
        <w:jc w:val="center"/>
        <w:rPr>
          <w:rFonts w:hint="eastAsia" w:ascii="方正小标宋_GBK" w:eastAsia="方正小标宋_GBK" w:cs="方正小标宋_GBK"/>
          <w:kern w:val="0"/>
          <w:sz w:val="36"/>
          <w:szCs w:val="36"/>
        </w:rPr>
      </w:pPr>
    </w:p>
    <w:p>
      <w:pPr>
        <w:tabs>
          <w:tab w:val="left" w:pos="6480"/>
        </w:tabs>
        <w:spacing w:line="600" w:lineRule="exact"/>
        <w:jc w:val="center"/>
        <w:rPr>
          <w:rFonts w:hint="eastAsia" w:ascii="方正小标宋_GBK" w:eastAsia="方正小标宋_GBK" w:cs="方正小标宋_GBK"/>
          <w:kern w:val="0"/>
          <w:sz w:val="36"/>
          <w:szCs w:val="36"/>
        </w:rPr>
      </w:pPr>
    </w:p>
    <w:p>
      <w:pPr>
        <w:tabs>
          <w:tab w:val="left" w:pos="6480"/>
        </w:tabs>
        <w:spacing w:line="600" w:lineRule="exact"/>
        <w:jc w:val="center"/>
        <w:rPr>
          <w:rFonts w:hint="eastAsia" w:ascii="方正小标宋_GBK" w:eastAsia="方正小标宋_GBK" w:cs="方正小标宋_GBK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 w:cs="方正小标宋_GBK"/>
          <w:kern w:val="0"/>
          <w:sz w:val="36"/>
          <w:szCs w:val="36"/>
        </w:rPr>
        <w:t>专项支出绩效评价指标</w:t>
      </w:r>
      <w:r>
        <w:rPr>
          <w:rFonts w:hint="eastAsia" w:ascii="方正小标宋_GBK" w:eastAsia="方正小标宋_GBK" w:cs="方正小标宋_GBK"/>
          <w:kern w:val="0"/>
          <w:sz w:val="36"/>
          <w:szCs w:val="36"/>
          <w:lang w:eastAsia="zh-CN"/>
        </w:rPr>
        <w:t>自评表</w:t>
      </w:r>
    </w:p>
    <w:tbl>
      <w:tblPr>
        <w:tblStyle w:val="2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64"/>
        <w:gridCol w:w="491"/>
        <w:gridCol w:w="664"/>
        <w:gridCol w:w="721"/>
        <w:gridCol w:w="2108"/>
        <w:gridCol w:w="4005"/>
        <w:gridCol w:w="664"/>
        <w:gridCol w:w="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tblHeader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一级指标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分值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二级指标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分值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三级指标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指标完成情况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评价标准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分值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49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项目决策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30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项目目标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20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内容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设立了项目绩效目标，且目标符合明确具体、细化量化、符合客观实际、与中长期规划相关联、有明确的开始及完成时间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设有目标（5分）；目标明确具体（3分）；目标细化、量化（3分） ；符合客观实际（3分）；与项目中长期规划相关联（3分）；有明确的开始及完成时间（3分）   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决策过程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申报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实行公开申报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是，计1分；否，计0分。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审核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严格审核，并有审核意见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是，计1分；否，计0分。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公示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分配结果在一定范围公示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是，计1分；否，计0分。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资金分配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7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办法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制定相关资金管理办法；管理办法中有明确资金分配办法；资金分配因素全面、合理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有相应的资金管理办法（1分）；办法健全、规范（1分）；因素全面合理（1分）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结果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资金分配符合相关管理办法；分配结果公平合理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符合分配办法（2分）；分配公平合理（2分）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49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项目管理</w:t>
            </w:r>
          </w:p>
          <w:p>
            <w:pPr>
              <w:spacing w:line="26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30</w:t>
            </w:r>
          </w:p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资金管理</w:t>
            </w:r>
          </w:p>
          <w:p>
            <w:pPr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20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预算完成率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68%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预算完成率=预算实际使用金额/预算资金计划投入金额，90%以上（5分）；80%以上不满90%（3分）；70%以上不满80%（2分）；60%以上不满70%（1分）；不满60%（0分）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工作经费开支率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无工作经费开支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工作经费开支率≤5%，计2分；每上升1%扣0.25分，扣完为止。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专款专用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预算资金专款专用，无挤占挪用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专款专用率=专项资金用于该项目支出金额/预算支出资金总额，100%（5分），否则不计分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专项专账核算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实行专账单独核算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是，计5分；否，计0分。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支出用途清晰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支付工程进度款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是，计2分；否，计0分。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审批程序规范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费用支出审批程序健全、规范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是，计1分；否，计0分。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组织实施</w:t>
            </w:r>
          </w:p>
        </w:tc>
        <w:tc>
          <w:tcPr>
            <w:tcW w:w="66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机构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机构健全、分工明确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机构健全、分工明确  （2分）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实施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项目按计划开工；按计划进度开展；按计划完工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按计划开工（1分）；计划开展（1分）；计划完工（1分）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制度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项目管理制度健全；严格执行相关管理制度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管理制度健全（1分）；制度执行严格（1分）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监控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机制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是否制定或具有相应的监控机制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是，计1分；否，计0分。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监督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检查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是否进行了专项监督检查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是，计1分；否，计0分。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491" w:type="dxa"/>
            <w:vMerge w:val="continue"/>
            <w:noWrap w:val="0"/>
            <w:vAlign w:val="center"/>
          </w:tcPr>
          <w:p/>
        </w:tc>
        <w:tc>
          <w:tcPr>
            <w:tcW w:w="664" w:type="dxa"/>
            <w:vMerge w:val="continue"/>
            <w:noWrap w:val="0"/>
            <w:vAlign w:val="center"/>
          </w:tcPr>
          <w:p/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政府采购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达到政府采购要求的项目进行了政府采购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是，计1分；否，计0分。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项目绩效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40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项目产出效果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40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绩效目标完成情况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全部完成</w:t>
            </w: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部门（单位）根据2020年绩效目标申报表提炼项目支出绩效评价指标。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40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合计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100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100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005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100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93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NDM3ZDJhOGVmZDJmYjY4NWFhYThhMDJjYmRhYzIifQ=="/>
  </w:docVars>
  <w:rsids>
    <w:rsidRoot w:val="67F712D5"/>
    <w:rsid w:val="2A513F79"/>
    <w:rsid w:val="2E715255"/>
    <w:rsid w:val="5F07728D"/>
    <w:rsid w:val="62783AF4"/>
    <w:rsid w:val="67F712D5"/>
    <w:rsid w:val="706C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1655</Words>
  <Characters>1730</Characters>
  <Lines>0</Lines>
  <Paragraphs>0</Paragraphs>
  <TotalTime>64</TotalTime>
  <ScaleCrop>false</ScaleCrop>
  <LinksUpToDate>false</LinksUpToDate>
  <CharactersWithSpaces>1736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2022-06-01T06:41:00Z</dcterms:created>
  <dc:creator>王锋</dc:creator>
  <cp:lastModifiedBy>平淡</cp:lastModifiedBy>
  <dcterms:modified xsi:type="dcterms:W3CDTF">2023-09-09T01:30:20Z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ABFB3156E3A3483E945B13D18E9367D4_13</vt:lpwstr>
  </property>
</Properties>
</file>